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82CDD" w14:textId="03FF93A2" w:rsidR="00126B14" w:rsidRDefault="00126B14" w:rsidP="00D027E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FF6684">
        <w:rPr>
          <w:spacing w:val="1"/>
        </w:rPr>
        <w:t>2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D027E4" w:rsidRPr="00D027E4">
        <w:rPr>
          <w:b/>
          <w:spacing w:val="-2"/>
        </w:rPr>
        <w:t>Firma Handlowo-Usługowa TOPORÓW Helena Topór</w:t>
      </w: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75FFAB3A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D027E4" w:rsidRPr="00D027E4">
        <w:rPr>
          <w:rFonts w:asciiTheme="minorHAnsi" w:hAnsiTheme="minorHAnsi" w:cstheme="minorHAnsi"/>
        </w:rPr>
        <w:t>KPOD.01.03-IW.01-B476/24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28307FF0" w:rsidR="00126B14" w:rsidRPr="007B0293" w:rsidRDefault="00D027E4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 w:rsidRPr="00D027E4">
        <w:rPr>
          <w:rFonts w:asciiTheme="minorHAnsi" w:hAnsiTheme="minorHAnsi" w:cstheme="minorHAnsi"/>
        </w:rPr>
        <w:t>Biały Dunajec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FF6684">
        <w:rPr>
          <w:rFonts w:asciiTheme="minorHAnsi" w:hAnsiTheme="minorHAnsi" w:cstheme="minorHAnsi"/>
        </w:rPr>
        <w:t>20.01.2026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2603E3C1" w14:textId="77777777" w:rsidR="00D027E4" w:rsidRDefault="00D027E4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D027E4">
        <w:rPr>
          <w:rFonts w:ascii="Times New Roman" w:hAnsi="Times New Roman" w:cs="Times New Roman"/>
          <w:sz w:val="24"/>
          <w:szCs w:val="24"/>
        </w:rPr>
        <w:t>Firma Handlowo-Usługowa TOPORÓW Helena Topór</w:t>
      </w:r>
    </w:p>
    <w:p w14:paraId="152E580C" w14:textId="36099302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ul.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D027E4" w:rsidRPr="00D027E4">
        <w:rPr>
          <w:rFonts w:ascii="Times New Roman" w:hAnsi="Times New Roman" w:cs="Times New Roman"/>
          <w:sz w:val="24"/>
          <w:szCs w:val="24"/>
        </w:rPr>
        <w:t>Jana Pawła II</w:t>
      </w:r>
      <w:r w:rsidR="00D027E4">
        <w:rPr>
          <w:rFonts w:ascii="Times New Roman" w:hAnsi="Times New Roman" w:cs="Times New Roman"/>
          <w:sz w:val="24"/>
          <w:szCs w:val="24"/>
        </w:rPr>
        <w:t xml:space="preserve"> 203</w:t>
      </w:r>
    </w:p>
    <w:p w14:paraId="2DF46ED8" w14:textId="5022455C" w:rsidR="00943BF5" w:rsidRPr="00F70D4A" w:rsidRDefault="00D027E4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D027E4">
        <w:rPr>
          <w:rFonts w:ascii="Times New Roman" w:hAnsi="Times New Roman" w:cs="Times New Roman"/>
          <w:sz w:val="24"/>
          <w:szCs w:val="24"/>
        </w:rPr>
        <w:t>34-425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7E4">
        <w:rPr>
          <w:rFonts w:ascii="Times New Roman" w:hAnsi="Times New Roman" w:cs="Times New Roman"/>
          <w:sz w:val="24"/>
          <w:szCs w:val="24"/>
        </w:rPr>
        <w:t>Biały Dunajec</w:t>
      </w:r>
    </w:p>
    <w:p w14:paraId="154D2DF0" w14:textId="297DD422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027E4" w:rsidRPr="00D027E4">
        <w:rPr>
          <w:rFonts w:ascii="Times New Roman" w:hAnsi="Times New Roman" w:cs="Times New Roman"/>
          <w:spacing w:val="-2"/>
          <w:sz w:val="24"/>
          <w:szCs w:val="24"/>
        </w:rPr>
        <w:t>7361063008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2A585201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F15ED3" w:rsidRPr="00F15ED3">
        <w:rPr>
          <w:rFonts w:ascii="Times New Roman" w:hAnsi="Times New Roman" w:cs="Times New Roman"/>
          <w:sz w:val="24"/>
          <w:szCs w:val="24"/>
        </w:rPr>
        <w:t>Anna</w:t>
      </w:r>
      <w:r w:rsidR="00F15ED3">
        <w:rPr>
          <w:rFonts w:ascii="Times New Roman" w:hAnsi="Times New Roman" w:cs="Times New Roman"/>
          <w:sz w:val="24"/>
          <w:szCs w:val="24"/>
        </w:rPr>
        <w:t xml:space="preserve"> </w:t>
      </w:r>
      <w:r w:rsidR="00F15ED3" w:rsidRPr="00F15ED3">
        <w:rPr>
          <w:rFonts w:ascii="Times New Roman" w:hAnsi="Times New Roman" w:cs="Times New Roman"/>
          <w:sz w:val="24"/>
          <w:szCs w:val="24"/>
        </w:rPr>
        <w:t>Topór</w:t>
      </w:r>
    </w:p>
    <w:p w14:paraId="4A34B16C" w14:textId="50233DDA" w:rsidR="00943BF5" w:rsidRPr="005825DC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5825DC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F15ED3" w:rsidRPr="005825DC">
        <w:rPr>
          <w:rFonts w:ascii="Times New Roman" w:hAnsi="Times New Roman" w:cs="Times New Roman"/>
          <w:sz w:val="24"/>
          <w:szCs w:val="24"/>
          <w:lang w:val="en-US"/>
        </w:rPr>
        <w:t>topor@toporow.pl</w:t>
      </w:r>
    </w:p>
    <w:p w14:paraId="6287697A" w14:textId="0261BE0A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</w:t>
      </w:r>
      <w:proofErr w:type="spellEnd"/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F15ED3" w:rsidRPr="00F15ED3">
        <w:rPr>
          <w:rFonts w:ascii="Times New Roman" w:hAnsi="Times New Roman" w:cs="Times New Roman"/>
          <w:spacing w:val="-2"/>
          <w:sz w:val="24"/>
          <w:szCs w:val="24"/>
          <w:lang w:val="en-US"/>
        </w:rPr>
        <w:t>698 763 582</w:t>
      </w:r>
    </w:p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11F91F79" w:rsidR="00C57B33" w:rsidRP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B15FC1">
        <w:rPr>
          <w:rFonts w:ascii="Times New Roman" w:hAnsi="Times New Roman" w:cs="Times New Roman"/>
          <w:sz w:val="24"/>
          <w:szCs w:val="24"/>
        </w:rPr>
        <w:t>krzeseł</w:t>
      </w:r>
      <w:r w:rsidR="00C57B33" w:rsidRPr="00C57B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B710D">
        <w:rPr>
          <w:rFonts w:ascii="Times New Roman" w:hAnsi="Times New Roman" w:cs="Times New Roman"/>
          <w:sz w:val="24"/>
          <w:szCs w:val="24"/>
        </w:rPr>
        <w:t>HoReCa</w:t>
      </w:r>
      <w:proofErr w:type="spellEnd"/>
    </w:p>
    <w:p w14:paraId="49F3BCCB" w14:textId="2334FFA0" w:rsidR="00831D59" w:rsidRPr="00831D59" w:rsidRDefault="00831D59" w:rsidP="00C57B33">
      <w:pPr>
        <w:pStyle w:val="Akapitzlist"/>
        <w:tabs>
          <w:tab w:val="left" w:pos="463"/>
          <w:tab w:val="left" w:pos="465"/>
        </w:tabs>
        <w:spacing w:line="276" w:lineRule="auto"/>
        <w:ind w:left="363" w:right="283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B801DD7" w14:textId="77777777" w:rsidR="008963AE" w:rsidRDefault="008963AE" w:rsidP="008963AE">
      <w:pPr>
        <w:rPr>
          <w:rFonts w:ascii="Times New Roman" w:hAnsi="Times New Roman" w:cs="Times New Roman"/>
        </w:rPr>
      </w:pPr>
    </w:p>
    <w:p w14:paraId="6CC24579" w14:textId="434C0824" w:rsidR="00B43E3B" w:rsidRPr="00C57B33" w:rsidRDefault="00B43E3B" w:rsidP="00C57B33">
      <w:pPr>
        <w:pStyle w:val="Tekstpodstawowy"/>
        <w:jc w:val="both"/>
      </w:pPr>
      <w:r>
        <w:rPr>
          <w:b/>
          <w:bCs/>
          <w:color w:val="000000"/>
          <w:sz w:val="32"/>
          <w:szCs w:val="32"/>
        </w:rPr>
        <w:t xml:space="preserve">SPECYFIKACJA TECHNICZNA URZĄDZEŃ </w:t>
      </w:r>
      <w:r w:rsidR="00C57B33">
        <w:rPr>
          <w:b/>
          <w:bCs/>
          <w:color w:val="000000"/>
          <w:sz w:val="32"/>
          <w:szCs w:val="32"/>
        </w:rPr>
        <w:t xml:space="preserve">WG ZAŁACZNIKA </w:t>
      </w:r>
    </w:p>
    <w:p w14:paraId="73F02046" w14:textId="77777777" w:rsidR="00B43E3B" w:rsidRDefault="00B43E3B" w:rsidP="00B43E3B">
      <w:pPr>
        <w:rPr>
          <w:b/>
          <w:bCs/>
          <w:sz w:val="32"/>
          <w:szCs w:val="32"/>
        </w:rPr>
      </w:pPr>
    </w:p>
    <w:p w14:paraId="7178052C" w14:textId="77777777" w:rsidR="00AB45E9" w:rsidRDefault="00AB45E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 xml:space="preserve">Spełnienie warunku udziału będzie oceniane w formule „spełnia/nie spełnia”. Za ofertę </w:t>
      </w:r>
      <w:r w:rsidRPr="00AB45E9">
        <w:rPr>
          <w:rFonts w:ascii="Times New Roman" w:hAnsi="Times New Roman" w:cs="Times New Roman"/>
          <w:sz w:val="24"/>
          <w:szCs w:val="24"/>
        </w:rPr>
        <w:lastRenderedPageBreak/>
        <w:t>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9E477" w14:textId="2AD5A1EE" w:rsidR="00557494" w:rsidRPr="00557494" w:rsidRDefault="00557494" w:rsidP="00AC3022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16CD1E70" w14:textId="77777777" w:rsidR="00B15FC1" w:rsidRDefault="00B15FC1" w:rsidP="00B15FC1">
      <w:pPr>
        <w:spacing w:before="41" w:line="276" w:lineRule="auto"/>
        <w:ind w:left="577" w:right="2738"/>
      </w:pPr>
      <w:r>
        <w:t xml:space="preserve">39112000-0 Krzesła </w:t>
      </w:r>
    </w:p>
    <w:p w14:paraId="736A0AB1" w14:textId="56156370" w:rsidR="008226D4" w:rsidRPr="008226D4" w:rsidRDefault="00B15FC1" w:rsidP="00B15FC1">
      <w:pPr>
        <w:spacing w:before="41" w:line="276" w:lineRule="auto"/>
        <w:ind w:left="577" w:right="2738"/>
      </w:pPr>
      <w:r>
        <w:t>39100000-3 Meble</w:t>
      </w:r>
    </w:p>
    <w:p w14:paraId="64C9A5E5" w14:textId="77777777" w:rsidR="00FB67A8" w:rsidRPr="00FB67A8" w:rsidRDefault="00FB67A8" w:rsidP="00FB67A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15F452D4" w14:textId="01252218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zamówienia: </w:t>
      </w:r>
      <w:r w:rsidR="00F15E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B71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78C2">
        <w:rPr>
          <w:rFonts w:ascii="Times New Roman" w:hAnsi="Times New Roman" w:cs="Times New Roman"/>
          <w:b/>
          <w:bCs/>
          <w:sz w:val="24"/>
          <w:szCs w:val="24"/>
        </w:rPr>
        <w:t xml:space="preserve">TYGODNIE OD PODPISANIA UMOWY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1A4663" w14:textId="77777777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6F193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65E7B66C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B15FC1">
        <w:t xml:space="preserve">łącznie </w:t>
      </w:r>
      <w:r w:rsidR="00CE4B5B">
        <w:t>5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 xml:space="preserve">b) wykonawców, których beneficjentem rzeczywistym jest osoba lub podmiot objęty </w:t>
      </w:r>
      <w:r>
        <w:lastRenderedPageBreak/>
        <w:t>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mip59346952"/>
      <w:bookmarkEnd w:id="1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mip59346954"/>
      <w:bookmarkEnd w:id="2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5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6"/>
      <w:bookmarkEnd w:id="4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7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</w:t>
      </w:r>
      <w:proofErr w:type="spellStart"/>
      <w:r w:rsidRPr="006F193B">
        <w:rPr>
          <w:rFonts w:ascii="Times New Roman" w:hAnsi="Times New Roman" w:cs="Times New Roman"/>
          <w:sz w:val="24"/>
          <w:szCs w:val="24"/>
        </w:rPr>
        <w:t>Dz.Urz</w:t>
      </w:r>
      <w:proofErr w:type="spellEnd"/>
      <w:r w:rsidRPr="006F193B">
        <w:rPr>
          <w:rFonts w:ascii="Times New Roman" w:hAnsi="Times New Roman" w:cs="Times New Roman"/>
          <w:sz w:val="24"/>
          <w:szCs w:val="24"/>
        </w:rPr>
        <w:t>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braku powiązań osobowych i kapitałowych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Dokumenty potwierdzające spełnienie warunków udziału w postępowaniu</w:t>
      </w:r>
      <w:r>
        <w:t xml:space="preserve"> – załącznik nr 4.</w:t>
      </w:r>
    </w:p>
    <w:p w14:paraId="25A1D88C" w14:textId="054E3444" w:rsidR="00B43E3B" w:rsidRDefault="000D7FA1" w:rsidP="00B15FC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28FAA79B" w14:textId="3671DA78" w:rsidR="005255E0" w:rsidRDefault="005255E0" w:rsidP="00B15FC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926EE05" w14:textId="70712E56" w:rsidR="000D7FA1" w:rsidRDefault="000D7FA1" w:rsidP="000D7FA1">
      <w:pPr>
        <w:pStyle w:val="NormalnyWeb"/>
        <w:numPr>
          <w:ilvl w:val="0"/>
          <w:numId w:val="12"/>
        </w:numPr>
      </w:pPr>
      <w:bookmarkStart w:id="6" w:name="_Hlk206475158"/>
      <w:r>
        <w:rPr>
          <w:rStyle w:val="Pogrubienie"/>
          <w:rFonts w:eastAsiaTheme="majorEastAsia"/>
        </w:rPr>
        <w:t>Oświadczenie o braku przeszkód w udziale w postępowaniu</w:t>
      </w:r>
      <w:r>
        <w:t xml:space="preserve"> </w:t>
      </w:r>
      <w:bookmarkEnd w:id="6"/>
      <w:r w:rsidR="007605DE">
        <w:t>– załącznik</w:t>
      </w:r>
      <w:r>
        <w:t>– potwierdzające, że Wykonawca:</w:t>
      </w:r>
    </w:p>
    <w:p w14:paraId="55860AC9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jest w trakcie likwidacji,</w:t>
      </w:r>
    </w:p>
    <w:p w14:paraId="12589A1D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znajduje się w postępowaniu restrukturyzacyjnym zakończonym układem przewidującym likwidację majątku,</w:t>
      </w:r>
    </w:p>
    <w:p w14:paraId="6C1CFCE2" w14:textId="77777777" w:rsidR="000D7FA1" w:rsidRDefault="000D7FA1" w:rsidP="000D7FA1">
      <w:pPr>
        <w:pStyle w:val="NormalnyWeb"/>
        <w:numPr>
          <w:ilvl w:val="1"/>
          <w:numId w:val="12"/>
        </w:numPr>
      </w:pPr>
      <w:r>
        <w:t>nie ogłoszono wobec niego upadłości (z wyjątkiem sytuacji, gdy zawarto układ zatwierdzony przez sąd, bez likwidacji majątku).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lastRenderedPageBreak/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6A214D1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F15ED3" w:rsidRPr="00F15ED3">
        <w:rPr>
          <w:b/>
          <w:bCs/>
        </w:rPr>
        <w:t>topor@toporow.pl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lastRenderedPageBreak/>
        <w:t>XIII. Termin i miejsce składania oraz oceny ofert</w:t>
      </w:r>
    </w:p>
    <w:p w14:paraId="618AE48F" w14:textId="43C599F0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B15FC1">
        <w:rPr>
          <w:b/>
          <w:bCs/>
        </w:rPr>
        <w:t>29.01.2026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A1F0E">
        <w:rPr>
          <w:b/>
          <w:bCs/>
        </w:rPr>
        <w:t>8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</w:t>
      </w:r>
      <w:proofErr w:type="spellStart"/>
      <w:r w:rsidRPr="00EA1F0E">
        <w:t>Cn</w:t>
      </w:r>
      <w:proofErr w:type="spellEnd"/>
      <w:r w:rsidRPr="00EA1F0E">
        <w:t>/</w:t>
      </w:r>
      <w:proofErr w:type="spellStart"/>
      <w:r w:rsidRPr="00EA1F0E">
        <w:t>Cb</w:t>
      </w:r>
      <w:proofErr w:type="spellEnd"/>
      <w:r w:rsidRPr="00EA1F0E">
        <w:t xml:space="preserve">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proofErr w:type="spellStart"/>
      <w:r w:rsidRPr="00EA1F0E">
        <w:t>Cn</w:t>
      </w:r>
      <w:proofErr w:type="spellEnd"/>
      <w:r w:rsidRPr="00EA1F0E">
        <w:t xml:space="preserve"> - najniższą cenę spośród wszystkich ofert, a </w:t>
      </w:r>
    </w:p>
    <w:p w14:paraId="797F6128" w14:textId="6ED1D89E" w:rsidR="009A6826" w:rsidRDefault="00EA1F0E" w:rsidP="00EA1F0E">
      <w:pPr>
        <w:pStyle w:val="NormalnyWeb"/>
      </w:pPr>
      <w:proofErr w:type="spellStart"/>
      <w:r w:rsidRPr="00EA1F0E">
        <w:t>Cb</w:t>
      </w:r>
      <w:proofErr w:type="spellEnd"/>
      <w:r w:rsidRPr="00EA1F0E">
        <w:t xml:space="preserve">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lastRenderedPageBreak/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51F0E5E7" w14:textId="77777777" w:rsidR="009A6826" w:rsidRPr="009A6826" w:rsidRDefault="009A6826" w:rsidP="009A6826">
      <w:pPr>
        <w:pStyle w:val="NormalnyWeb"/>
      </w:pPr>
      <w:r w:rsidRPr="009A6826">
        <w:t>Możliwe są m.in.:</w:t>
      </w:r>
    </w:p>
    <w:p w14:paraId="4680CB34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560066C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6874A94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5E8FDF3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50731E91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6B68757E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2170544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f) Zmiany osób reprezentujących w trakcie realizacji umowy interesy Stron;</w:t>
      </w:r>
    </w:p>
    <w:p w14:paraId="6D5E7BEA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g) Zmian przepisów obowiązującego prawa dotyczącego umowy;</w:t>
      </w:r>
    </w:p>
    <w:p w14:paraId="5CC4A276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7E997CC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6154DE6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0FE5A01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773B5770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l) Zmiany stawki podatku od towarów i usług VAT;</w:t>
      </w:r>
    </w:p>
    <w:p w14:paraId="3A964FA9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n) Zmiany wynikające z konieczności dostosowania umowy do wytycznych, regulaminów lub decyzji instytucji finansujących.</w:t>
      </w:r>
    </w:p>
    <w:p w14:paraId="337AD67E" w14:textId="2D588A7E" w:rsidR="00123B0E" w:rsidRPr="00123B0E" w:rsidRDefault="00123B0E" w:rsidP="00123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838049" w14:textId="1818F5A0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71DD2232" w14:textId="0FABF872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4B75C269" w14:textId="2F4AA4CB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26BBD696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F15ED3" w:rsidRPr="00F15ED3">
        <w:rPr>
          <w:b/>
          <w:bCs/>
        </w:rPr>
        <w:t>Firma Handlowo-Usługowa TOPORÓW Helena Topór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2B5E2245" w14:textId="77777777" w:rsidR="004E42D2" w:rsidRDefault="004E42D2" w:rsidP="0019673D">
      <w:pPr>
        <w:pStyle w:val="NormalnyWeb"/>
        <w:ind w:left="360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AD73B" w14:textId="77777777" w:rsidR="002A3F38" w:rsidRDefault="002A3F38" w:rsidP="00C3530D">
      <w:r>
        <w:separator/>
      </w:r>
    </w:p>
  </w:endnote>
  <w:endnote w:type="continuationSeparator" w:id="0">
    <w:p w14:paraId="6C15512D" w14:textId="77777777" w:rsidR="002A3F38" w:rsidRDefault="002A3F38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0EEB" w14:textId="77777777" w:rsidR="002A3F38" w:rsidRDefault="002A3F38" w:rsidP="00C3530D">
      <w:r>
        <w:separator/>
      </w:r>
    </w:p>
  </w:footnote>
  <w:footnote w:type="continuationSeparator" w:id="0">
    <w:p w14:paraId="0A92B6E5" w14:textId="77777777" w:rsidR="002A3F38" w:rsidRDefault="002A3F38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3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4246143">
    <w:abstractNumId w:val="0"/>
  </w:num>
  <w:num w:numId="2" w16cid:durableId="1843661657">
    <w:abstractNumId w:val="24"/>
  </w:num>
  <w:num w:numId="3" w16cid:durableId="1788625719">
    <w:abstractNumId w:val="38"/>
  </w:num>
  <w:num w:numId="4" w16cid:durableId="84350443">
    <w:abstractNumId w:val="9"/>
  </w:num>
  <w:num w:numId="5" w16cid:durableId="322320958">
    <w:abstractNumId w:val="40"/>
  </w:num>
  <w:num w:numId="6" w16cid:durableId="1358509069">
    <w:abstractNumId w:val="11"/>
  </w:num>
  <w:num w:numId="7" w16cid:durableId="2079010871">
    <w:abstractNumId w:val="42"/>
  </w:num>
  <w:num w:numId="8" w16cid:durableId="1510825269">
    <w:abstractNumId w:val="31"/>
  </w:num>
  <w:num w:numId="9" w16cid:durableId="375548658">
    <w:abstractNumId w:val="37"/>
  </w:num>
  <w:num w:numId="10" w16cid:durableId="1791701838">
    <w:abstractNumId w:val="32"/>
  </w:num>
  <w:num w:numId="11" w16cid:durableId="1260405426">
    <w:abstractNumId w:val="15"/>
  </w:num>
  <w:num w:numId="12" w16cid:durableId="228930778">
    <w:abstractNumId w:val="43"/>
  </w:num>
  <w:num w:numId="13" w16cid:durableId="412510259">
    <w:abstractNumId w:val="36"/>
  </w:num>
  <w:num w:numId="14" w16cid:durableId="869997758">
    <w:abstractNumId w:val="25"/>
  </w:num>
  <w:num w:numId="15" w16cid:durableId="1044134158">
    <w:abstractNumId w:val="27"/>
  </w:num>
  <w:num w:numId="16" w16cid:durableId="1578242927">
    <w:abstractNumId w:val="10"/>
  </w:num>
  <w:num w:numId="17" w16cid:durableId="156189220">
    <w:abstractNumId w:val="17"/>
  </w:num>
  <w:num w:numId="18" w16cid:durableId="288320187">
    <w:abstractNumId w:val="4"/>
  </w:num>
  <w:num w:numId="19" w16cid:durableId="23024141">
    <w:abstractNumId w:val="33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23"/>
  </w:num>
  <w:num w:numId="23" w16cid:durableId="1855414389">
    <w:abstractNumId w:val="21"/>
  </w:num>
  <w:num w:numId="24" w16cid:durableId="2082364127">
    <w:abstractNumId w:val="14"/>
  </w:num>
  <w:num w:numId="25" w16cid:durableId="1610163821">
    <w:abstractNumId w:val="35"/>
  </w:num>
  <w:num w:numId="26" w16cid:durableId="1988708300">
    <w:abstractNumId w:val="34"/>
  </w:num>
  <w:num w:numId="27" w16cid:durableId="73627459">
    <w:abstractNumId w:val="12"/>
  </w:num>
  <w:num w:numId="28" w16cid:durableId="2106460119">
    <w:abstractNumId w:val="29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28"/>
  </w:num>
  <w:num w:numId="32" w16cid:durableId="1469863005">
    <w:abstractNumId w:val="39"/>
  </w:num>
  <w:num w:numId="33" w16cid:durableId="1092360449">
    <w:abstractNumId w:val="16"/>
  </w:num>
  <w:num w:numId="34" w16cid:durableId="1225486129">
    <w:abstractNumId w:val="2"/>
  </w:num>
  <w:num w:numId="35" w16cid:durableId="1429152887">
    <w:abstractNumId w:val="20"/>
  </w:num>
  <w:num w:numId="36" w16cid:durableId="351035546">
    <w:abstractNumId w:val="41"/>
  </w:num>
  <w:num w:numId="37" w16cid:durableId="1646425286">
    <w:abstractNumId w:val="26"/>
  </w:num>
  <w:num w:numId="38" w16cid:durableId="726926021">
    <w:abstractNumId w:val="18"/>
  </w:num>
  <w:num w:numId="39" w16cid:durableId="1387997184">
    <w:abstractNumId w:val="8"/>
  </w:num>
  <w:num w:numId="40" w16cid:durableId="456797843">
    <w:abstractNumId w:val="3"/>
  </w:num>
  <w:num w:numId="41" w16cid:durableId="1716390889">
    <w:abstractNumId w:val="30"/>
  </w:num>
  <w:num w:numId="42" w16cid:durableId="700479076">
    <w:abstractNumId w:val="22"/>
  </w:num>
  <w:num w:numId="43" w16cid:durableId="2099979580">
    <w:abstractNumId w:val="13"/>
  </w:num>
  <w:num w:numId="44" w16cid:durableId="2594882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541C7"/>
    <w:rsid w:val="00070783"/>
    <w:rsid w:val="00097932"/>
    <w:rsid w:val="000A7A00"/>
    <w:rsid w:val="000D376D"/>
    <w:rsid w:val="000D7FA1"/>
    <w:rsid w:val="00102270"/>
    <w:rsid w:val="00123B0E"/>
    <w:rsid w:val="00125DD4"/>
    <w:rsid w:val="00126B14"/>
    <w:rsid w:val="00132DC0"/>
    <w:rsid w:val="00154A8F"/>
    <w:rsid w:val="001578C2"/>
    <w:rsid w:val="0019673D"/>
    <w:rsid w:val="001B0ACE"/>
    <w:rsid w:val="001C690D"/>
    <w:rsid w:val="00231699"/>
    <w:rsid w:val="0023582D"/>
    <w:rsid w:val="002A3F38"/>
    <w:rsid w:val="002D7653"/>
    <w:rsid w:val="003029F7"/>
    <w:rsid w:val="00307D31"/>
    <w:rsid w:val="003661FC"/>
    <w:rsid w:val="003713BD"/>
    <w:rsid w:val="00392CE7"/>
    <w:rsid w:val="003D77C1"/>
    <w:rsid w:val="00432F7A"/>
    <w:rsid w:val="004433FD"/>
    <w:rsid w:val="00444FC6"/>
    <w:rsid w:val="00495EAF"/>
    <w:rsid w:val="004A7625"/>
    <w:rsid w:val="004B396B"/>
    <w:rsid w:val="004C1E29"/>
    <w:rsid w:val="004E42D2"/>
    <w:rsid w:val="00501E5A"/>
    <w:rsid w:val="005255E0"/>
    <w:rsid w:val="00541057"/>
    <w:rsid w:val="00557494"/>
    <w:rsid w:val="005825DC"/>
    <w:rsid w:val="005A074A"/>
    <w:rsid w:val="005B364E"/>
    <w:rsid w:val="00601975"/>
    <w:rsid w:val="006033F6"/>
    <w:rsid w:val="00604E32"/>
    <w:rsid w:val="006703E6"/>
    <w:rsid w:val="00676E19"/>
    <w:rsid w:val="006A6A32"/>
    <w:rsid w:val="006C2128"/>
    <w:rsid w:val="006C2185"/>
    <w:rsid w:val="006E725C"/>
    <w:rsid w:val="006F08AB"/>
    <w:rsid w:val="006F193B"/>
    <w:rsid w:val="007128A8"/>
    <w:rsid w:val="007159E4"/>
    <w:rsid w:val="00724E4A"/>
    <w:rsid w:val="007605DE"/>
    <w:rsid w:val="00761FA1"/>
    <w:rsid w:val="00766BB1"/>
    <w:rsid w:val="007813AB"/>
    <w:rsid w:val="00787462"/>
    <w:rsid w:val="007907C4"/>
    <w:rsid w:val="007B13BB"/>
    <w:rsid w:val="00803BB5"/>
    <w:rsid w:val="00806241"/>
    <w:rsid w:val="008113C3"/>
    <w:rsid w:val="008226D4"/>
    <w:rsid w:val="00826AEF"/>
    <w:rsid w:val="00831D59"/>
    <w:rsid w:val="00894136"/>
    <w:rsid w:val="008954FD"/>
    <w:rsid w:val="008963AE"/>
    <w:rsid w:val="008B54F2"/>
    <w:rsid w:val="008F2087"/>
    <w:rsid w:val="00925FF6"/>
    <w:rsid w:val="00930B8E"/>
    <w:rsid w:val="00943BF5"/>
    <w:rsid w:val="00986493"/>
    <w:rsid w:val="0098775A"/>
    <w:rsid w:val="009A6826"/>
    <w:rsid w:val="009E7D4E"/>
    <w:rsid w:val="00A34BF7"/>
    <w:rsid w:val="00A66D0A"/>
    <w:rsid w:val="00A674C2"/>
    <w:rsid w:val="00A93E0B"/>
    <w:rsid w:val="00AB45E9"/>
    <w:rsid w:val="00AB4D6F"/>
    <w:rsid w:val="00AC3022"/>
    <w:rsid w:val="00AD269A"/>
    <w:rsid w:val="00AF2DF3"/>
    <w:rsid w:val="00AF44FE"/>
    <w:rsid w:val="00AF5256"/>
    <w:rsid w:val="00B15FC1"/>
    <w:rsid w:val="00B262CE"/>
    <w:rsid w:val="00B43E3B"/>
    <w:rsid w:val="00B921D0"/>
    <w:rsid w:val="00BE5C4B"/>
    <w:rsid w:val="00C33120"/>
    <w:rsid w:val="00C3530D"/>
    <w:rsid w:val="00C45A38"/>
    <w:rsid w:val="00C57B33"/>
    <w:rsid w:val="00C81207"/>
    <w:rsid w:val="00CA1E90"/>
    <w:rsid w:val="00CC5F45"/>
    <w:rsid w:val="00CE4B5B"/>
    <w:rsid w:val="00CE575B"/>
    <w:rsid w:val="00D027E4"/>
    <w:rsid w:val="00D04E5B"/>
    <w:rsid w:val="00D07422"/>
    <w:rsid w:val="00D25528"/>
    <w:rsid w:val="00D566CA"/>
    <w:rsid w:val="00D620D0"/>
    <w:rsid w:val="00D77D91"/>
    <w:rsid w:val="00D94E42"/>
    <w:rsid w:val="00DA2573"/>
    <w:rsid w:val="00DA6F7A"/>
    <w:rsid w:val="00DB3135"/>
    <w:rsid w:val="00DB710D"/>
    <w:rsid w:val="00DC7EC3"/>
    <w:rsid w:val="00E05293"/>
    <w:rsid w:val="00E11F8D"/>
    <w:rsid w:val="00E224ED"/>
    <w:rsid w:val="00E36F6B"/>
    <w:rsid w:val="00E60599"/>
    <w:rsid w:val="00E6063B"/>
    <w:rsid w:val="00E90781"/>
    <w:rsid w:val="00E91DDB"/>
    <w:rsid w:val="00EA1F0E"/>
    <w:rsid w:val="00EC60AB"/>
    <w:rsid w:val="00EC6AE2"/>
    <w:rsid w:val="00EE103C"/>
    <w:rsid w:val="00EF3B8B"/>
    <w:rsid w:val="00F03438"/>
    <w:rsid w:val="00F0460B"/>
    <w:rsid w:val="00F116BA"/>
    <w:rsid w:val="00F15ED3"/>
    <w:rsid w:val="00F278D6"/>
    <w:rsid w:val="00F55FAA"/>
    <w:rsid w:val="00F565A8"/>
    <w:rsid w:val="00F56CBA"/>
    <w:rsid w:val="00F70D4A"/>
    <w:rsid w:val="00F74127"/>
    <w:rsid w:val="00F7798B"/>
    <w:rsid w:val="00F82EB3"/>
    <w:rsid w:val="00FB67A8"/>
    <w:rsid w:val="00FC1FF3"/>
    <w:rsid w:val="00FC6F48"/>
    <w:rsid w:val="00FD01F9"/>
    <w:rsid w:val="00FD178A"/>
    <w:rsid w:val="00FF1DB9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13</Pages>
  <Words>3349</Words>
  <Characters>26625</Characters>
  <Application>Microsoft Office Word</Application>
  <DocSecurity>0</DocSecurity>
  <Lines>1664</Lines>
  <Paragraphs>1763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99</cp:revision>
  <dcterms:created xsi:type="dcterms:W3CDTF">2025-08-12T13:09:00Z</dcterms:created>
  <dcterms:modified xsi:type="dcterms:W3CDTF">2026-01-21T21:01:00Z</dcterms:modified>
</cp:coreProperties>
</file>